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9E" w:rsidRPr="002C1397" w:rsidRDefault="008E625C" w:rsidP="002C1397">
      <w:pPr>
        <w:spacing w:line="360" w:lineRule="auto"/>
        <w:jc w:val="center"/>
        <w:rPr>
          <w:rFonts w:ascii="Arial" w:hAnsi="Arial" w:cs="Arial"/>
          <w:b/>
          <w:sz w:val="24"/>
          <w:szCs w:val="24"/>
        </w:rPr>
      </w:pPr>
      <w:r w:rsidRPr="002C1397">
        <w:rPr>
          <w:rFonts w:ascii="Arial" w:hAnsi="Arial" w:cs="Arial"/>
          <w:b/>
          <w:sz w:val="24"/>
          <w:szCs w:val="24"/>
        </w:rPr>
        <w:t>“A major problem of human society is to combine that degree of liberty without which law is tyranny with that degree of law without which liberty becomes license”.</w:t>
      </w:r>
    </w:p>
    <w:p w:rsidR="00472135" w:rsidRPr="00442040" w:rsidRDefault="00442040" w:rsidP="00442040">
      <w:pPr>
        <w:spacing w:line="360" w:lineRule="auto"/>
        <w:jc w:val="both"/>
        <w:rPr>
          <w:rFonts w:ascii="Arial" w:hAnsi="Arial" w:cs="Arial"/>
          <w:b/>
          <w:sz w:val="24"/>
          <w:szCs w:val="24"/>
          <w:u w:val="single"/>
        </w:rPr>
      </w:pPr>
      <w:r w:rsidRPr="00442040">
        <w:rPr>
          <w:rFonts w:ascii="Arial" w:hAnsi="Arial" w:cs="Arial"/>
          <w:b/>
          <w:sz w:val="24"/>
          <w:szCs w:val="24"/>
          <w:u w:val="single"/>
        </w:rPr>
        <w:t>LAW OF ARREST &amp; CONSTITUTION</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 xml:space="preserve">Article 21 of the constitution of India declares that “no person shall be deprived of his life or personal liberty except according to procedure established by law”. The heading of the said Article is “Protection of life and personal liberty”. </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Article 20 contains three guarantees, namely, (a) not to be convicted of an offence which was not in force or punishable at the time of the commission of the offence, (b) not to be prosecuted or punished for the same offence more than once and (c) not to be compelled to be a witness against himself.</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 xml:space="preserve">Clause (1) of Article 22 declares that “No person who is arrested shall be detained in custody without being informed, as soon as may be, of the grounds for such arrest nor shall he be denied the right to consult, and to be defended by, a legal practitioner of his choice”. Clause (2) of Article 22 is indeed more fundamental. It says “Every person who is arrested and detained in custody shall be produced before the nearest magistrate within a period of 24 hours of such arrest excluding the time necessary for the journey from the place of arrest to court of the magistrate and no such person shall be detained in custody beyond the said period without the authority of a magistrate”.  </w:t>
      </w:r>
    </w:p>
    <w:p w:rsidR="00472135" w:rsidRPr="002C1397" w:rsidRDefault="00442040" w:rsidP="00442040">
      <w:pPr>
        <w:spacing w:line="360" w:lineRule="auto"/>
        <w:jc w:val="both"/>
        <w:rPr>
          <w:rFonts w:ascii="Arial" w:hAnsi="Arial" w:cs="Arial"/>
          <w:b/>
          <w:sz w:val="24"/>
          <w:szCs w:val="24"/>
          <w:u w:val="single"/>
        </w:rPr>
      </w:pPr>
      <w:r w:rsidRPr="002C1397">
        <w:rPr>
          <w:rFonts w:ascii="Arial" w:hAnsi="Arial" w:cs="Arial"/>
          <w:b/>
          <w:sz w:val="24"/>
          <w:szCs w:val="24"/>
          <w:u w:val="single"/>
        </w:rPr>
        <w:t>LAW OF ARREST &amp; CRPC</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Code of Criminal Procedure, 1973 lays down the procedural aspects of procedure of arrest. Under this, the complete process been mentioned related to arrest a person who committed any offence. The essential object of criminal law to protect the society from criminal and from law-breakers. Therefore, criminal law consists both substantive and procedural law. Chapter V of Code of Criminal Procedure, 1973 deals with the arrest of persons under (Sections 41 to Section 60).</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Three People can issue the process of arrest, they are as follows:</w:t>
      </w:r>
    </w:p>
    <w:p w:rsidR="00472135" w:rsidRPr="00442040" w:rsidRDefault="00472135" w:rsidP="00442040">
      <w:pPr>
        <w:pStyle w:val="ListParagraph"/>
        <w:numPr>
          <w:ilvl w:val="0"/>
          <w:numId w:val="1"/>
        </w:numPr>
        <w:spacing w:line="360" w:lineRule="auto"/>
        <w:jc w:val="both"/>
        <w:rPr>
          <w:rFonts w:ascii="Arial" w:hAnsi="Arial" w:cs="Arial"/>
          <w:sz w:val="24"/>
          <w:szCs w:val="24"/>
        </w:rPr>
      </w:pPr>
      <w:r w:rsidRPr="00442040">
        <w:rPr>
          <w:rFonts w:ascii="Arial" w:hAnsi="Arial" w:cs="Arial"/>
          <w:sz w:val="24"/>
          <w:szCs w:val="24"/>
        </w:rPr>
        <w:t>A police officer with or without warrant, or</w:t>
      </w:r>
    </w:p>
    <w:p w:rsidR="00472135" w:rsidRPr="00442040" w:rsidRDefault="00472135" w:rsidP="00442040">
      <w:pPr>
        <w:pStyle w:val="ListParagraph"/>
        <w:numPr>
          <w:ilvl w:val="0"/>
          <w:numId w:val="1"/>
        </w:numPr>
        <w:spacing w:line="360" w:lineRule="auto"/>
        <w:jc w:val="both"/>
        <w:rPr>
          <w:rFonts w:ascii="Arial" w:hAnsi="Arial" w:cs="Arial"/>
          <w:sz w:val="24"/>
          <w:szCs w:val="24"/>
        </w:rPr>
      </w:pPr>
      <w:r w:rsidRPr="00442040">
        <w:rPr>
          <w:rFonts w:ascii="Arial" w:hAnsi="Arial" w:cs="Arial"/>
          <w:sz w:val="24"/>
          <w:szCs w:val="24"/>
        </w:rPr>
        <w:t>A private person, or</w:t>
      </w:r>
    </w:p>
    <w:p w:rsidR="00472135" w:rsidRPr="00442040" w:rsidRDefault="00472135" w:rsidP="00442040">
      <w:pPr>
        <w:pStyle w:val="ListParagraph"/>
        <w:numPr>
          <w:ilvl w:val="0"/>
          <w:numId w:val="1"/>
        </w:numPr>
        <w:spacing w:line="360" w:lineRule="auto"/>
        <w:jc w:val="both"/>
        <w:rPr>
          <w:rFonts w:ascii="Arial" w:hAnsi="Arial" w:cs="Arial"/>
          <w:sz w:val="24"/>
          <w:szCs w:val="24"/>
        </w:rPr>
      </w:pPr>
      <w:r w:rsidRPr="00442040">
        <w:rPr>
          <w:rFonts w:ascii="Arial" w:hAnsi="Arial" w:cs="Arial"/>
          <w:sz w:val="24"/>
          <w:szCs w:val="24"/>
        </w:rPr>
        <w:t>A magistrate</w:t>
      </w:r>
    </w:p>
    <w:p w:rsidR="00472135" w:rsidRPr="002C1397" w:rsidRDefault="00472135" w:rsidP="00442040">
      <w:pPr>
        <w:spacing w:line="360" w:lineRule="auto"/>
        <w:jc w:val="both"/>
        <w:rPr>
          <w:rFonts w:ascii="Arial" w:hAnsi="Arial" w:cs="Arial"/>
          <w:b/>
          <w:sz w:val="24"/>
          <w:szCs w:val="24"/>
          <w:u w:val="single"/>
        </w:rPr>
      </w:pPr>
      <w:r w:rsidRPr="002C1397">
        <w:rPr>
          <w:rFonts w:ascii="Arial" w:hAnsi="Arial" w:cs="Arial"/>
          <w:b/>
          <w:sz w:val="24"/>
          <w:szCs w:val="24"/>
          <w:u w:val="single"/>
        </w:rPr>
        <w:lastRenderedPageBreak/>
        <w:t>WHO CAN ARREST?</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The police officer is been authorized to arrest any person without the warrant ordered by the court. Under Sections 41, 42, 151 CrPC, a Police officer may arrest without warrant in the following conditions:</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has been concerned in any cognizable offence such as murder, rape, kidnapping, theft, etc.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has in possession, without, lawful excuse, of any house breaking weapon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has been proclaimed as an offender either under CrPC or by order of the State Govt.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is in possession of any stolen property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obstructs a police officer while in the execution of his duty or who has escaped, or attempts to escape, from lawful custody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is reasonably suspected of being a deserter from any of the Armed forces of the Union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has been concerned in any law relating to extradition or</w:t>
      </w:r>
    </w:p>
    <w:p w:rsidR="00472135" w:rsidRPr="00442040" w:rsidRDefault="00472135" w:rsidP="00442040">
      <w:pPr>
        <w:pStyle w:val="ListParagraph"/>
        <w:numPr>
          <w:ilvl w:val="0"/>
          <w:numId w:val="2"/>
        </w:numPr>
        <w:spacing w:line="360" w:lineRule="auto"/>
        <w:jc w:val="both"/>
        <w:rPr>
          <w:rFonts w:ascii="Arial" w:hAnsi="Arial" w:cs="Arial"/>
          <w:sz w:val="24"/>
          <w:szCs w:val="24"/>
        </w:rPr>
      </w:pPr>
      <w:r w:rsidRPr="00442040">
        <w:rPr>
          <w:rFonts w:ascii="Arial" w:hAnsi="Arial" w:cs="Arial"/>
          <w:sz w:val="24"/>
          <w:szCs w:val="24"/>
        </w:rPr>
        <w:t>Who, being a released convict commits a breach of any rule made under sub-section (5) of Section 356 CrPC or</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For whose arrest any requisition has been received from another police officer specifying the person to be arrested and the offence and other cause for which the arrest is to be made.</w:t>
      </w:r>
    </w:p>
    <w:p w:rsidR="00472135" w:rsidRPr="002C1397" w:rsidRDefault="00472135" w:rsidP="00442040">
      <w:pPr>
        <w:spacing w:line="360" w:lineRule="auto"/>
        <w:jc w:val="both"/>
        <w:rPr>
          <w:rFonts w:ascii="Arial" w:hAnsi="Arial" w:cs="Arial"/>
          <w:b/>
          <w:sz w:val="24"/>
          <w:szCs w:val="24"/>
          <w:u w:val="single"/>
        </w:rPr>
      </w:pPr>
      <w:r w:rsidRPr="002C1397">
        <w:rPr>
          <w:rFonts w:ascii="Arial" w:hAnsi="Arial" w:cs="Arial"/>
          <w:b/>
          <w:sz w:val="24"/>
          <w:szCs w:val="24"/>
          <w:u w:val="single"/>
        </w:rPr>
        <w:t>HOW TO ARREST?</w:t>
      </w:r>
    </w:p>
    <w:p w:rsidR="00472135" w:rsidRPr="00442040" w:rsidRDefault="00472135" w:rsidP="00442040">
      <w:pPr>
        <w:spacing w:line="360" w:lineRule="auto"/>
        <w:jc w:val="both"/>
        <w:rPr>
          <w:rFonts w:ascii="Arial" w:hAnsi="Arial" w:cs="Arial"/>
          <w:sz w:val="24"/>
          <w:szCs w:val="24"/>
        </w:rPr>
      </w:pPr>
      <w:r w:rsidRPr="00442040">
        <w:rPr>
          <w:rFonts w:ascii="Arial" w:hAnsi="Arial" w:cs="Arial"/>
          <w:sz w:val="24"/>
          <w:szCs w:val="24"/>
        </w:rPr>
        <w:t xml:space="preserve">It is envisaged in </w:t>
      </w:r>
      <w:r w:rsidR="00442040" w:rsidRPr="00442040">
        <w:rPr>
          <w:rFonts w:ascii="Arial" w:hAnsi="Arial" w:cs="Arial"/>
          <w:sz w:val="24"/>
          <w:szCs w:val="24"/>
        </w:rPr>
        <w:t xml:space="preserve">Section 46 of the Criminal Procedure Code. Section 46 CrPC describes the way in which an arrest is actually made. As per Section 46(1), unless the person being arrested consents to the submission to custody by words or actions, the arrester shall actually touch or confine the body of the person to be arrested.  Since arrest is a restraint on the liberty of the person, it is necessary for the person being arrested to either submit to custody or the arrester must touch and confine his body. Mere oral declaration of arrest by the arrester without getting submission to custody or physical touching to confine the body will not amount to arrest. The submission to custody may be by express words or by action. </w:t>
      </w:r>
    </w:p>
    <w:p w:rsidR="00442040" w:rsidRDefault="00442040" w:rsidP="00442040">
      <w:pPr>
        <w:spacing w:line="360" w:lineRule="auto"/>
        <w:jc w:val="both"/>
        <w:rPr>
          <w:rFonts w:ascii="Arial" w:hAnsi="Arial" w:cs="Arial"/>
          <w:sz w:val="24"/>
          <w:szCs w:val="24"/>
        </w:rPr>
      </w:pPr>
      <w:r w:rsidRPr="00442040">
        <w:rPr>
          <w:rFonts w:ascii="Arial" w:hAnsi="Arial" w:cs="Arial"/>
          <w:sz w:val="24"/>
          <w:szCs w:val="24"/>
        </w:rPr>
        <w:lastRenderedPageBreak/>
        <w:t>In the case of Jog</w:t>
      </w:r>
      <w:r w:rsidR="004218EB">
        <w:rPr>
          <w:rFonts w:ascii="Arial" w:hAnsi="Arial" w:cs="Arial"/>
          <w:sz w:val="24"/>
          <w:szCs w:val="24"/>
        </w:rPr>
        <w:t>inder Kumar vs State of UP</w:t>
      </w:r>
      <w:r w:rsidR="004218EB">
        <w:rPr>
          <w:rStyle w:val="FootnoteReference"/>
          <w:rFonts w:ascii="Arial" w:hAnsi="Arial" w:cs="Arial"/>
          <w:sz w:val="24"/>
          <w:szCs w:val="24"/>
        </w:rPr>
        <w:footnoteReference w:id="1"/>
      </w:r>
      <w:r w:rsidRPr="00442040">
        <w:rPr>
          <w:rFonts w:ascii="Arial" w:hAnsi="Arial" w:cs="Arial"/>
          <w:sz w:val="24"/>
          <w:szCs w:val="24"/>
        </w:rPr>
        <w:t xml:space="preserve">, it was held that no arrest can be made merely because it is lawful to do so. There must be a justifiable reason to arrest. </w:t>
      </w:r>
      <w:r w:rsidR="004218EB">
        <w:rPr>
          <w:rFonts w:ascii="Arial" w:hAnsi="Arial" w:cs="Arial"/>
          <w:sz w:val="24"/>
          <w:szCs w:val="24"/>
        </w:rPr>
        <w:t>Further, in State vs Bhera</w:t>
      </w:r>
      <w:r w:rsidR="004218EB">
        <w:rPr>
          <w:rStyle w:val="FootnoteReference"/>
          <w:rFonts w:ascii="Arial" w:hAnsi="Arial" w:cs="Arial"/>
          <w:sz w:val="24"/>
          <w:szCs w:val="24"/>
        </w:rPr>
        <w:footnoteReference w:id="2"/>
      </w:r>
      <w:r w:rsidRPr="00442040">
        <w:rPr>
          <w:rFonts w:ascii="Arial" w:hAnsi="Arial" w:cs="Arial"/>
          <w:sz w:val="24"/>
          <w:szCs w:val="24"/>
        </w:rPr>
        <w:t>, it was held that the “reasonable suspicion” and “creditable information” must relate to definite averments which must be considered by the Police Officer himself before he arrests the person. In case of Birendra K</w:t>
      </w:r>
      <w:r w:rsidR="004218EB">
        <w:rPr>
          <w:rFonts w:ascii="Arial" w:hAnsi="Arial" w:cs="Arial"/>
          <w:sz w:val="24"/>
          <w:szCs w:val="24"/>
        </w:rPr>
        <w:t>umar Rai vs Union of India</w:t>
      </w:r>
      <w:r w:rsidR="004218EB">
        <w:rPr>
          <w:rStyle w:val="FootnoteReference"/>
          <w:rFonts w:ascii="Arial" w:hAnsi="Arial" w:cs="Arial"/>
          <w:sz w:val="24"/>
          <w:szCs w:val="24"/>
        </w:rPr>
        <w:footnoteReference w:id="3"/>
      </w:r>
      <w:r w:rsidRPr="00442040">
        <w:rPr>
          <w:rFonts w:ascii="Arial" w:hAnsi="Arial" w:cs="Arial"/>
          <w:sz w:val="24"/>
          <w:szCs w:val="24"/>
        </w:rPr>
        <w:t>, it was held that arrest need not be by handcuffing the person, and it can also be complete by spoken words if the person submits to custody.</w:t>
      </w:r>
    </w:p>
    <w:p w:rsidR="00442040" w:rsidRDefault="00442040" w:rsidP="00442040">
      <w:pPr>
        <w:spacing w:line="360" w:lineRule="auto"/>
        <w:jc w:val="both"/>
        <w:rPr>
          <w:rFonts w:ascii="Arial" w:hAnsi="Arial" w:cs="Arial"/>
          <w:sz w:val="24"/>
          <w:szCs w:val="24"/>
        </w:rPr>
      </w:pPr>
      <w:r w:rsidRPr="00442040">
        <w:rPr>
          <w:rFonts w:ascii="Arial" w:hAnsi="Arial" w:cs="Arial"/>
          <w:sz w:val="24"/>
          <w:szCs w:val="24"/>
        </w:rPr>
        <w:t xml:space="preserve">In Kultej Singh vs </w:t>
      </w:r>
      <w:r w:rsidR="004218EB">
        <w:rPr>
          <w:rFonts w:ascii="Arial" w:hAnsi="Arial" w:cs="Arial"/>
          <w:sz w:val="24"/>
          <w:szCs w:val="24"/>
        </w:rPr>
        <w:t>Circle Inspector of Police</w:t>
      </w:r>
      <w:r w:rsidR="004218EB">
        <w:rPr>
          <w:rStyle w:val="FootnoteReference"/>
          <w:rFonts w:ascii="Arial" w:hAnsi="Arial" w:cs="Arial"/>
          <w:sz w:val="24"/>
          <w:szCs w:val="24"/>
        </w:rPr>
        <w:footnoteReference w:id="4"/>
      </w:r>
      <w:r w:rsidRPr="00442040">
        <w:rPr>
          <w:rFonts w:ascii="Arial" w:hAnsi="Arial" w:cs="Arial"/>
          <w:sz w:val="24"/>
          <w:szCs w:val="24"/>
        </w:rPr>
        <w:t>, it was held that keeping a person in the police station or confining the movement of the person in the precincts of the police station amounts to arrest of the person</w:t>
      </w:r>
      <w:r>
        <w:rPr>
          <w:rFonts w:ascii="Arial" w:hAnsi="Arial" w:cs="Arial"/>
          <w:sz w:val="24"/>
          <w:szCs w:val="24"/>
        </w:rPr>
        <w:t xml:space="preserve">. </w:t>
      </w:r>
      <w:r w:rsidR="002C1397">
        <w:rPr>
          <w:rFonts w:ascii="Arial" w:hAnsi="Arial" w:cs="Arial"/>
          <w:sz w:val="24"/>
          <w:szCs w:val="24"/>
        </w:rPr>
        <w:t>In Niranjan Kumar vs. Prabhakar Kharote</w:t>
      </w:r>
      <w:r w:rsidR="004218EB">
        <w:rPr>
          <w:rStyle w:val="FootnoteReference"/>
          <w:rFonts w:ascii="Arial" w:hAnsi="Arial" w:cs="Arial"/>
          <w:sz w:val="24"/>
          <w:szCs w:val="24"/>
        </w:rPr>
        <w:footnoteReference w:id="5"/>
      </w:r>
      <w:r w:rsidR="002C1397">
        <w:rPr>
          <w:rFonts w:ascii="Arial" w:hAnsi="Arial" w:cs="Arial"/>
          <w:sz w:val="24"/>
          <w:szCs w:val="24"/>
        </w:rPr>
        <w:t>, it was held that arrest so</w:t>
      </w:r>
      <w:r w:rsidR="004218EB">
        <w:rPr>
          <w:rFonts w:ascii="Arial" w:hAnsi="Arial" w:cs="Arial"/>
          <w:sz w:val="24"/>
          <w:szCs w:val="24"/>
        </w:rPr>
        <w:t xml:space="preserve"> ar</w:t>
      </w:r>
      <w:r w:rsidR="002C1397">
        <w:rPr>
          <w:rFonts w:ascii="Arial" w:hAnsi="Arial" w:cs="Arial"/>
          <w:sz w:val="24"/>
          <w:szCs w:val="24"/>
        </w:rPr>
        <w:t>en’t necessarily mean physical confinement, but a cu</w:t>
      </w:r>
      <w:r w:rsidR="004218EB">
        <w:rPr>
          <w:rFonts w:ascii="Arial" w:hAnsi="Arial" w:cs="Arial"/>
          <w:sz w:val="24"/>
          <w:szCs w:val="24"/>
        </w:rPr>
        <w:t>r</w:t>
      </w:r>
      <w:r w:rsidR="002C1397">
        <w:rPr>
          <w:rFonts w:ascii="Arial" w:hAnsi="Arial" w:cs="Arial"/>
          <w:sz w:val="24"/>
          <w:szCs w:val="24"/>
        </w:rPr>
        <w:t xml:space="preserve">tailment on the liberty of the person. The basic purpose is to prevent tampering of evidences, threat to witnesses etc. A surrender also comes within the purview of Arrest. </w:t>
      </w:r>
    </w:p>
    <w:p w:rsidR="002C1397" w:rsidRPr="002C1397" w:rsidRDefault="002C1397" w:rsidP="00442040">
      <w:pPr>
        <w:spacing w:line="360" w:lineRule="auto"/>
        <w:jc w:val="both"/>
        <w:rPr>
          <w:rFonts w:ascii="Arial" w:hAnsi="Arial" w:cs="Arial"/>
          <w:b/>
          <w:sz w:val="24"/>
          <w:szCs w:val="24"/>
          <w:u w:val="single"/>
        </w:rPr>
      </w:pPr>
      <w:r w:rsidRPr="002C1397">
        <w:rPr>
          <w:rFonts w:ascii="Arial" w:hAnsi="Arial" w:cs="Arial"/>
          <w:b/>
          <w:sz w:val="24"/>
          <w:szCs w:val="24"/>
          <w:u w:val="single"/>
        </w:rPr>
        <w:t>ARREST AND DETENTION:</w:t>
      </w:r>
    </w:p>
    <w:p w:rsidR="002C1397" w:rsidRPr="002C1397" w:rsidRDefault="002C1397" w:rsidP="002C1397">
      <w:pPr>
        <w:spacing w:line="360" w:lineRule="auto"/>
        <w:jc w:val="both"/>
        <w:rPr>
          <w:rFonts w:ascii="Arial" w:hAnsi="Arial" w:cs="Arial"/>
          <w:sz w:val="24"/>
          <w:szCs w:val="24"/>
        </w:rPr>
      </w:pPr>
      <w:r>
        <w:rPr>
          <w:rFonts w:ascii="Arial" w:hAnsi="Arial" w:cs="Arial"/>
          <w:sz w:val="24"/>
          <w:szCs w:val="24"/>
        </w:rPr>
        <w:t xml:space="preserve">If the investigation into your </w:t>
      </w:r>
      <w:r w:rsidRPr="002C1397">
        <w:rPr>
          <w:rFonts w:ascii="Arial" w:hAnsi="Arial" w:cs="Arial"/>
          <w:sz w:val="24"/>
          <w:szCs w:val="24"/>
        </w:rPr>
        <w:t>case c</w:t>
      </w:r>
      <w:bookmarkStart w:id="0" w:name="_GoBack"/>
      <w:bookmarkEnd w:id="0"/>
      <w:r w:rsidRPr="002C1397">
        <w:rPr>
          <w:rFonts w:ascii="Arial" w:hAnsi="Arial" w:cs="Arial"/>
          <w:sz w:val="24"/>
          <w:szCs w:val="24"/>
        </w:rPr>
        <w:t>annot be completed immediately, you may be released unconditionally or on bail to appear at a s</w:t>
      </w:r>
      <w:r>
        <w:rPr>
          <w:rFonts w:ascii="Arial" w:hAnsi="Arial" w:cs="Arial"/>
          <w:sz w:val="24"/>
          <w:szCs w:val="24"/>
        </w:rPr>
        <w:t xml:space="preserve">pecified </w:t>
      </w:r>
      <w:r w:rsidRPr="002C1397">
        <w:rPr>
          <w:rFonts w:ascii="Arial" w:hAnsi="Arial" w:cs="Arial"/>
          <w:sz w:val="24"/>
          <w:szCs w:val="24"/>
        </w:rPr>
        <w:t>police station at the date/time stated in the recognizance. You will not be kept i</w:t>
      </w:r>
      <w:r>
        <w:rPr>
          <w:rFonts w:ascii="Arial" w:hAnsi="Arial" w:cs="Arial"/>
          <w:sz w:val="24"/>
          <w:szCs w:val="24"/>
        </w:rPr>
        <w:t xml:space="preserve">n custody longer than necessary </w:t>
      </w:r>
      <w:r w:rsidRPr="002C1397">
        <w:rPr>
          <w:rFonts w:ascii="Arial" w:hAnsi="Arial" w:cs="Arial"/>
          <w:sz w:val="24"/>
          <w:szCs w:val="24"/>
        </w:rPr>
        <w:t>for such investigation. If after the investigation there is sufficient evidence again</w:t>
      </w:r>
      <w:r>
        <w:rPr>
          <w:rFonts w:ascii="Arial" w:hAnsi="Arial" w:cs="Arial"/>
          <w:sz w:val="24"/>
          <w:szCs w:val="24"/>
        </w:rPr>
        <w:t xml:space="preserve">st you, you will be charged and </w:t>
      </w:r>
      <w:r w:rsidRPr="002C1397">
        <w:rPr>
          <w:rFonts w:ascii="Arial" w:hAnsi="Arial" w:cs="Arial"/>
          <w:sz w:val="24"/>
          <w:szCs w:val="24"/>
        </w:rPr>
        <w:t>either be released on bail to appear before a Magistrate or detained and brou</w:t>
      </w:r>
      <w:r>
        <w:rPr>
          <w:rFonts w:ascii="Arial" w:hAnsi="Arial" w:cs="Arial"/>
          <w:sz w:val="24"/>
          <w:szCs w:val="24"/>
        </w:rPr>
        <w:t xml:space="preserve">ght before a Magistrate as soon </w:t>
      </w:r>
      <w:r w:rsidRPr="002C1397">
        <w:rPr>
          <w:rFonts w:ascii="Arial" w:hAnsi="Arial" w:cs="Arial"/>
          <w:sz w:val="24"/>
          <w:szCs w:val="24"/>
        </w:rPr>
        <w:t>as practicable</w:t>
      </w:r>
      <w:r>
        <w:rPr>
          <w:rFonts w:ascii="Arial" w:hAnsi="Arial" w:cs="Arial"/>
          <w:sz w:val="24"/>
          <w:szCs w:val="24"/>
        </w:rPr>
        <w:t xml:space="preserve">. </w:t>
      </w:r>
      <w:r w:rsidRPr="002C1397">
        <w:rPr>
          <w:rFonts w:ascii="Arial" w:hAnsi="Arial" w:cs="Arial"/>
          <w:sz w:val="24"/>
          <w:szCs w:val="24"/>
        </w:rPr>
        <w:t xml:space="preserve">Any such detention </w:t>
      </w:r>
      <w:r>
        <w:rPr>
          <w:rFonts w:ascii="Arial" w:hAnsi="Arial" w:cs="Arial"/>
          <w:sz w:val="24"/>
          <w:szCs w:val="24"/>
        </w:rPr>
        <w:t xml:space="preserve">must be justified on reasonable </w:t>
      </w:r>
      <w:r w:rsidRPr="002C1397">
        <w:rPr>
          <w:rFonts w:ascii="Arial" w:hAnsi="Arial" w:cs="Arial"/>
          <w:sz w:val="24"/>
          <w:szCs w:val="24"/>
        </w:rPr>
        <w:t>grounds having regard to the circumstances of your case. In this regard, you wi</w:t>
      </w:r>
      <w:r>
        <w:rPr>
          <w:rFonts w:ascii="Arial" w:hAnsi="Arial" w:cs="Arial"/>
          <w:sz w:val="24"/>
          <w:szCs w:val="24"/>
        </w:rPr>
        <w:t xml:space="preserve">ll normally be released on bail </w:t>
      </w:r>
      <w:r w:rsidRPr="002C1397">
        <w:rPr>
          <w:rFonts w:ascii="Arial" w:hAnsi="Arial" w:cs="Arial"/>
          <w:sz w:val="24"/>
          <w:szCs w:val="24"/>
        </w:rPr>
        <w:t>except:</w:t>
      </w:r>
    </w:p>
    <w:p w:rsidR="002C1397" w:rsidRPr="002C1397" w:rsidRDefault="002C1397" w:rsidP="002C1397">
      <w:pPr>
        <w:spacing w:line="360" w:lineRule="auto"/>
        <w:jc w:val="both"/>
        <w:rPr>
          <w:rFonts w:ascii="Arial" w:hAnsi="Arial" w:cs="Arial"/>
          <w:sz w:val="24"/>
          <w:szCs w:val="24"/>
        </w:rPr>
      </w:pPr>
      <w:r w:rsidRPr="002C1397">
        <w:rPr>
          <w:rFonts w:ascii="Arial" w:hAnsi="Arial" w:cs="Arial"/>
          <w:sz w:val="24"/>
          <w:szCs w:val="24"/>
        </w:rPr>
        <w:t>(a)</w:t>
      </w:r>
      <w:r w:rsidRPr="002C1397">
        <w:rPr>
          <w:rFonts w:ascii="Arial" w:hAnsi="Arial" w:cs="Arial"/>
          <w:sz w:val="24"/>
          <w:szCs w:val="24"/>
        </w:rPr>
        <w:tab/>
        <w:t xml:space="preserve"> where the offence is of a serious nature;</w:t>
      </w:r>
    </w:p>
    <w:p w:rsidR="002C1397" w:rsidRPr="002C1397" w:rsidRDefault="002C1397" w:rsidP="002C1397">
      <w:pPr>
        <w:spacing w:line="360" w:lineRule="auto"/>
        <w:jc w:val="both"/>
        <w:rPr>
          <w:rFonts w:ascii="Arial" w:hAnsi="Arial" w:cs="Arial"/>
          <w:sz w:val="24"/>
          <w:szCs w:val="24"/>
        </w:rPr>
      </w:pPr>
      <w:r w:rsidRPr="002C1397">
        <w:rPr>
          <w:rFonts w:ascii="Arial" w:hAnsi="Arial" w:cs="Arial"/>
          <w:sz w:val="24"/>
          <w:szCs w:val="24"/>
        </w:rPr>
        <w:t>(b)</w:t>
      </w:r>
      <w:r w:rsidRPr="002C1397">
        <w:rPr>
          <w:rFonts w:ascii="Arial" w:hAnsi="Arial" w:cs="Arial"/>
          <w:sz w:val="24"/>
          <w:szCs w:val="24"/>
        </w:rPr>
        <w:tab/>
        <w:t xml:space="preserve"> where you have been arrested on a warrant which does not allow bail;</w:t>
      </w:r>
    </w:p>
    <w:p w:rsidR="002C1397" w:rsidRPr="002C1397" w:rsidRDefault="002C1397" w:rsidP="002C1397">
      <w:pPr>
        <w:spacing w:line="360" w:lineRule="auto"/>
        <w:jc w:val="both"/>
        <w:rPr>
          <w:rFonts w:ascii="Arial" w:hAnsi="Arial" w:cs="Arial"/>
          <w:sz w:val="24"/>
          <w:szCs w:val="24"/>
        </w:rPr>
      </w:pPr>
      <w:r w:rsidRPr="002C1397">
        <w:rPr>
          <w:rFonts w:ascii="Arial" w:hAnsi="Arial" w:cs="Arial"/>
          <w:sz w:val="24"/>
          <w:szCs w:val="24"/>
        </w:rPr>
        <w:t>(c)</w:t>
      </w:r>
      <w:r w:rsidRPr="002C1397">
        <w:rPr>
          <w:rFonts w:ascii="Arial" w:hAnsi="Arial" w:cs="Arial"/>
          <w:sz w:val="24"/>
          <w:szCs w:val="24"/>
        </w:rPr>
        <w:tab/>
        <w:t xml:space="preserve"> where you may abscond or where you may repeat the offence;</w:t>
      </w:r>
    </w:p>
    <w:p w:rsidR="002C1397" w:rsidRPr="002C1397" w:rsidRDefault="002C1397" w:rsidP="002C1397">
      <w:pPr>
        <w:spacing w:line="360" w:lineRule="auto"/>
        <w:jc w:val="both"/>
        <w:rPr>
          <w:rFonts w:ascii="Arial" w:hAnsi="Arial" w:cs="Arial"/>
          <w:sz w:val="24"/>
          <w:szCs w:val="24"/>
        </w:rPr>
      </w:pPr>
      <w:r w:rsidRPr="002C1397">
        <w:rPr>
          <w:rFonts w:ascii="Arial" w:hAnsi="Arial" w:cs="Arial"/>
          <w:sz w:val="24"/>
          <w:szCs w:val="24"/>
        </w:rPr>
        <w:lastRenderedPageBreak/>
        <w:t>(d)</w:t>
      </w:r>
      <w:r w:rsidRPr="002C1397">
        <w:rPr>
          <w:rFonts w:ascii="Arial" w:hAnsi="Arial" w:cs="Arial"/>
          <w:sz w:val="24"/>
          <w:szCs w:val="24"/>
        </w:rPr>
        <w:tab/>
        <w:t xml:space="preserve"> where you may interfere with witnesses, impede the investigation or attempt to obstruct t</w:t>
      </w:r>
      <w:r>
        <w:rPr>
          <w:rFonts w:ascii="Arial" w:hAnsi="Arial" w:cs="Arial"/>
          <w:sz w:val="24"/>
          <w:szCs w:val="24"/>
        </w:rPr>
        <w:t>he course of justice</w:t>
      </w:r>
      <w:r>
        <w:rPr>
          <w:rStyle w:val="FootnoteReference"/>
          <w:rFonts w:ascii="Arial" w:hAnsi="Arial" w:cs="Arial"/>
          <w:sz w:val="24"/>
          <w:szCs w:val="24"/>
        </w:rPr>
        <w:footnoteReference w:id="6"/>
      </w:r>
    </w:p>
    <w:p w:rsidR="002C1397" w:rsidRPr="00442040" w:rsidRDefault="002C1397" w:rsidP="002C1397">
      <w:pPr>
        <w:spacing w:line="360" w:lineRule="auto"/>
        <w:jc w:val="both"/>
        <w:rPr>
          <w:rFonts w:ascii="Arial" w:hAnsi="Arial" w:cs="Arial"/>
          <w:sz w:val="24"/>
          <w:szCs w:val="24"/>
        </w:rPr>
      </w:pPr>
    </w:p>
    <w:sectPr w:rsidR="002C1397" w:rsidRPr="004420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71" w:rsidRDefault="00287371" w:rsidP="002C1397">
      <w:pPr>
        <w:spacing w:after="0" w:line="240" w:lineRule="auto"/>
      </w:pPr>
      <w:r>
        <w:separator/>
      </w:r>
    </w:p>
  </w:endnote>
  <w:endnote w:type="continuationSeparator" w:id="0">
    <w:p w:rsidR="00287371" w:rsidRDefault="00287371" w:rsidP="002C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71" w:rsidRDefault="00287371" w:rsidP="002C1397">
      <w:pPr>
        <w:spacing w:after="0" w:line="240" w:lineRule="auto"/>
      </w:pPr>
      <w:r>
        <w:separator/>
      </w:r>
    </w:p>
  </w:footnote>
  <w:footnote w:type="continuationSeparator" w:id="0">
    <w:p w:rsidR="00287371" w:rsidRDefault="00287371" w:rsidP="002C1397">
      <w:pPr>
        <w:spacing w:after="0" w:line="240" w:lineRule="auto"/>
      </w:pPr>
      <w:r>
        <w:continuationSeparator/>
      </w:r>
    </w:p>
  </w:footnote>
  <w:footnote w:id="1">
    <w:p w:rsidR="004218EB" w:rsidRDefault="004218EB">
      <w:pPr>
        <w:pStyle w:val="FootnoteText"/>
      </w:pPr>
      <w:r>
        <w:rPr>
          <w:rStyle w:val="FootnoteReference"/>
        </w:rPr>
        <w:footnoteRef/>
      </w:r>
      <w:r>
        <w:t xml:space="preserve"> AIR 1994 SC 1349</w:t>
      </w:r>
    </w:p>
  </w:footnote>
  <w:footnote w:id="2">
    <w:p w:rsidR="004218EB" w:rsidRDefault="004218EB">
      <w:pPr>
        <w:pStyle w:val="FootnoteText"/>
      </w:pPr>
      <w:r>
        <w:rPr>
          <w:rStyle w:val="FootnoteReference"/>
        </w:rPr>
        <w:footnoteRef/>
      </w:r>
      <w:r>
        <w:t xml:space="preserve"> </w:t>
      </w:r>
      <w:r>
        <w:rPr>
          <w:rFonts w:ascii="Arial" w:hAnsi="Arial" w:cs="Arial"/>
          <w:color w:val="545454"/>
          <w:shd w:val="clear" w:color="auto" w:fill="FFFFFF"/>
        </w:rPr>
        <w:t>1997 CriLJ 1237</w:t>
      </w:r>
    </w:p>
  </w:footnote>
  <w:footnote w:id="3">
    <w:p w:rsidR="004218EB" w:rsidRDefault="004218EB">
      <w:pPr>
        <w:pStyle w:val="FootnoteText"/>
      </w:pPr>
      <w:r>
        <w:rPr>
          <w:rStyle w:val="FootnoteReference"/>
        </w:rPr>
        <w:footnoteRef/>
      </w:r>
      <w:r>
        <w:t xml:space="preserve"> </w:t>
      </w:r>
      <w:r>
        <w:rPr>
          <w:rFonts w:ascii="Arial" w:hAnsi="Arial" w:cs="Arial"/>
          <w:color w:val="545454"/>
          <w:shd w:val="clear" w:color="auto" w:fill="FFFFFF"/>
        </w:rPr>
        <w:t>AIR 1992 All 151</w:t>
      </w:r>
    </w:p>
  </w:footnote>
  <w:footnote w:id="4">
    <w:p w:rsidR="004218EB" w:rsidRDefault="004218EB">
      <w:pPr>
        <w:pStyle w:val="FootnoteText"/>
      </w:pPr>
      <w:r>
        <w:rPr>
          <w:rStyle w:val="FootnoteReference"/>
        </w:rPr>
        <w:footnoteRef/>
      </w:r>
      <w:r>
        <w:t xml:space="preserve"> </w:t>
      </w:r>
      <w:r>
        <w:rPr>
          <w:rFonts w:ascii="Arial" w:hAnsi="Arial" w:cs="Arial"/>
          <w:color w:val="545454"/>
          <w:shd w:val="clear" w:color="auto" w:fill="FFFFFF"/>
        </w:rPr>
        <w:t>1992 Cr.LJ.</w:t>
      </w:r>
      <w:r>
        <w:rPr>
          <w:rFonts w:ascii="Arial" w:hAnsi="Arial" w:cs="Arial"/>
          <w:color w:val="545454"/>
          <w:shd w:val="clear" w:color="auto" w:fill="FFFFFF"/>
        </w:rPr>
        <w:t>73</w:t>
      </w:r>
    </w:p>
  </w:footnote>
  <w:footnote w:id="5">
    <w:p w:rsidR="004218EB" w:rsidRDefault="004218EB">
      <w:pPr>
        <w:pStyle w:val="FootnoteText"/>
      </w:pPr>
      <w:r>
        <w:rPr>
          <w:rStyle w:val="FootnoteReference"/>
        </w:rPr>
        <w:footnoteRef/>
      </w:r>
      <w:r>
        <w:t xml:space="preserve"> </w:t>
      </w:r>
      <w:r>
        <w:rPr>
          <w:rFonts w:ascii="Arial" w:hAnsi="Arial" w:cs="Arial"/>
          <w:color w:val="545454"/>
          <w:shd w:val="clear" w:color="auto" w:fill="FFFFFF"/>
        </w:rPr>
        <w:t>AIR 1980 SC 785</w:t>
      </w:r>
    </w:p>
  </w:footnote>
  <w:footnote w:id="6">
    <w:p w:rsidR="002C1397" w:rsidRDefault="002C1397">
      <w:pPr>
        <w:pStyle w:val="FootnoteText"/>
      </w:pPr>
      <w:r>
        <w:rPr>
          <w:rStyle w:val="FootnoteReference"/>
        </w:rPr>
        <w:footnoteRef/>
      </w:r>
      <w:r>
        <w:t xml:space="preserve"> </w:t>
      </w:r>
      <w:r w:rsidRPr="002C1397">
        <w:t>https://www.police.gov.hk/info/doc/pol/en/Pol-1128.pdf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E1F94"/>
    <w:multiLevelType w:val="hybridMultilevel"/>
    <w:tmpl w:val="EE1AE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116306"/>
    <w:multiLevelType w:val="hybridMultilevel"/>
    <w:tmpl w:val="48625E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832AC7"/>
    <w:multiLevelType w:val="hybridMultilevel"/>
    <w:tmpl w:val="A7224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5C"/>
    <w:rsid w:val="002127CE"/>
    <w:rsid w:val="00287371"/>
    <w:rsid w:val="002C1397"/>
    <w:rsid w:val="003F479E"/>
    <w:rsid w:val="004218EB"/>
    <w:rsid w:val="00442040"/>
    <w:rsid w:val="00472135"/>
    <w:rsid w:val="006B0957"/>
    <w:rsid w:val="008E62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B6216-AF00-4610-AD25-98198C30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OTBODY">
    <w:name w:val="MOOT BODY"/>
    <w:basedOn w:val="Normal"/>
    <w:link w:val="MOOTBODYChar"/>
    <w:qFormat/>
    <w:rsid w:val="006B0957"/>
    <w:pPr>
      <w:spacing w:before="360" w:after="520" w:line="360" w:lineRule="auto"/>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customStyle="1" w:styleId="MOOTBODYChar">
    <w:name w:val="MOOT BODY Char"/>
    <w:basedOn w:val="DefaultParagraphFont"/>
    <w:link w:val="MOOTBODY"/>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ListParagraph">
    <w:name w:val="List Paragraph"/>
    <w:basedOn w:val="Normal"/>
    <w:uiPriority w:val="34"/>
    <w:qFormat/>
    <w:rsid w:val="00472135"/>
    <w:pPr>
      <w:ind w:left="720"/>
      <w:contextualSpacing/>
    </w:pPr>
  </w:style>
  <w:style w:type="paragraph" w:styleId="FootnoteText">
    <w:name w:val="footnote text"/>
    <w:basedOn w:val="Normal"/>
    <w:link w:val="FootnoteTextChar"/>
    <w:uiPriority w:val="99"/>
    <w:semiHidden/>
    <w:unhideWhenUsed/>
    <w:rsid w:val="002C13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397"/>
    <w:rPr>
      <w:sz w:val="20"/>
      <w:szCs w:val="20"/>
    </w:rPr>
  </w:style>
  <w:style w:type="character" w:styleId="FootnoteReference">
    <w:name w:val="footnote reference"/>
    <w:basedOn w:val="DefaultParagraphFont"/>
    <w:uiPriority w:val="99"/>
    <w:semiHidden/>
    <w:unhideWhenUsed/>
    <w:rsid w:val="002C1397"/>
    <w:rPr>
      <w:vertAlign w:val="superscript"/>
    </w:rPr>
  </w:style>
  <w:style w:type="paragraph" w:styleId="EndnoteText">
    <w:name w:val="endnote text"/>
    <w:basedOn w:val="Normal"/>
    <w:link w:val="EndnoteTextChar"/>
    <w:uiPriority w:val="99"/>
    <w:semiHidden/>
    <w:unhideWhenUsed/>
    <w:rsid w:val="004218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18EB"/>
    <w:rPr>
      <w:sz w:val="20"/>
      <w:szCs w:val="20"/>
    </w:rPr>
  </w:style>
  <w:style w:type="character" w:styleId="EndnoteReference">
    <w:name w:val="endnote reference"/>
    <w:basedOn w:val="DefaultParagraphFont"/>
    <w:uiPriority w:val="99"/>
    <w:semiHidden/>
    <w:unhideWhenUsed/>
    <w:rsid w:val="00421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80">
      <w:bodyDiv w:val="1"/>
      <w:marLeft w:val="0"/>
      <w:marRight w:val="0"/>
      <w:marTop w:val="0"/>
      <w:marBottom w:val="0"/>
      <w:divBdr>
        <w:top w:val="none" w:sz="0" w:space="0" w:color="auto"/>
        <w:left w:val="none" w:sz="0" w:space="0" w:color="auto"/>
        <w:bottom w:val="none" w:sz="0" w:space="0" w:color="auto"/>
        <w:right w:val="none" w:sz="0" w:space="0" w:color="auto"/>
      </w:divBdr>
      <w:divsChild>
        <w:div w:id="173107301">
          <w:marLeft w:val="576"/>
          <w:marRight w:val="0"/>
          <w:marTop w:val="80"/>
          <w:marBottom w:val="0"/>
          <w:divBdr>
            <w:top w:val="none" w:sz="0" w:space="0" w:color="auto"/>
            <w:left w:val="none" w:sz="0" w:space="0" w:color="auto"/>
            <w:bottom w:val="none" w:sz="0" w:space="0" w:color="auto"/>
            <w:right w:val="none" w:sz="0" w:space="0" w:color="auto"/>
          </w:divBdr>
        </w:div>
      </w:divsChild>
    </w:div>
    <w:div w:id="596599645">
      <w:bodyDiv w:val="1"/>
      <w:marLeft w:val="0"/>
      <w:marRight w:val="0"/>
      <w:marTop w:val="0"/>
      <w:marBottom w:val="0"/>
      <w:divBdr>
        <w:top w:val="none" w:sz="0" w:space="0" w:color="auto"/>
        <w:left w:val="none" w:sz="0" w:space="0" w:color="auto"/>
        <w:bottom w:val="none" w:sz="0" w:space="0" w:color="auto"/>
        <w:right w:val="none" w:sz="0" w:space="0" w:color="auto"/>
      </w:divBdr>
    </w:div>
    <w:div w:id="1262253318">
      <w:bodyDiv w:val="1"/>
      <w:marLeft w:val="0"/>
      <w:marRight w:val="0"/>
      <w:marTop w:val="0"/>
      <w:marBottom w:val="0"/>
      <w:divBdr>
        <w:top w:val="none" w:sz="0" w:space="0" w:color="auto"/>
        <w:left w:val="none" w:sz="0" w:space="0" w:color="auto"/>
        <w:bottom w:val="none" w:sz="0" w:space="0" w:color="auto"/>
        <w:right w:val="none" w:sz="0" w:space="0" w:color="auto"/>
      </w:divBdr>
      <w:divsChild>
        <w:div w:id="1428775120">
          <w:marLeft w:val="576"/>
          <w:marRight w:val="0"/>
          <w:marTop w:val="80"/>
          <w:marBottom w:val="0"/>
          <w:divBdr>
            <w:top w:val="none" w:sz="0" w:space="0" w:color="auto"/>
            <w:left w:val="none" w:sz="0" w:space="0" w:color="auto"/>
            <w:bottom w:val="none" w:sz="0" w:space="0" w:color="auto"/>
            <w:right w:val="none" w:sz="0" w:space="0" w:color="auto"/>
          </w:divBdr>
        </w:div>
        <w:div w:id="499781130">
          <w:marLeft w:val="576"/>
          <w:marRight w:val="0"/>
          <w:marTop w:val="80"/>
          <w:marBottom w:val="0"/>
          <w:divBdr>
            <w:top w:val="none" w:sz="0" w:space="0" w:color="auto"/>
            <w:left w:val="none" w:sz="0" w:space="0" w:color="auto"/>
            <w:bottom w:val="none" w:sz="0" w:space="0" w:color="auto"/>
            <w:right w:val="none" w:sz="0" w:space="0" w:color="auto"/>
          </w:divBdr>
        </w:div>
        <w:div w:id="1586377682">
          <w:marLeft w:val="576"/>
          <w:marRight w:val="0"/>
          <w:marTop w:val="80"/>
          <w:marBottom w:val="0"/>
          <w:divBdr>
            <w:top w:val="none" w:sz="0" w:space="0" w:color="auto"/>
            <w:left w:val="none" w:sz="0" w:space="0" w:color="auto"/>
            <w:bottom w:val="none" w:sz="0" w:space="0" w:color="auto"/>
            <w:right w:val="none" w:sz="0" w:space="0" w:color="auto"/>
          </w:divBdr>
        </w:div>
        <w:div w:id="1603144637">
          <w:marLeft w:val="576"/>
          <w:marRight w:val="0"/>
          <w:marTop w:val="80"/>
          <w:marBottom w:val="0"/>
          <w:divBdr>
            <w:top w:val="none" w:sz="0" w:space="0" w:color="auto"/>
            <w:left w:val="none" w:sz="0" w:space="0" w:color="auto"/>
            <w:bottom w:val="none" w:sz="0" w:space="0" w:color="auto"/>
            <w:right w:val="none" w:sz="0" w:space="0" w:color="auto"/>
          </w:divBdr>
        </w:div>
      </w:divsChild>
    </w:div>
    <w:div w:id="1673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RiddhiMa</dc:creator>
  <cp:keywords/>
  <dc:description/>
  <cp:lastModifiedBy>RiddhiMa</cp:lastModifiedBy>
  <cp:revision>2</cp:revision>
  <dcterms:created xsi:type="dcterms:W3CDTF">2018-12-19T15:37:00Z</dcterms:created>
  <dcterms:modified xsi:type="dcterms:W3CDTF">2018-12-20T05:52:00Z</dcterms:modified>
</cp:coreProperties>
</file>