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PROCESS FOR DIVORCE UNDER MUTUAL CONSENT</w:t>
      </w:r>
    </w:p>
    <w:p w:rsidR="00000000" w:rsidDel="00000000" w:rsidP="00000000" w:rsidRDefault="00000000" w:rsidRPr="00000000" w14:paraId="00000002">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the procedure to file for a Divorce under mutual consent :</w:t>
      </w:r>
    </w:p>
    <w:p w:rsidR="00000000" w:rsidDel="00000000" w:rsidP="00000000" w:rsidRDefault="00000000" w:rsidRPr="00000000" w14:paraId="00000004">
      <w:pPr>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Petition to file for divorce</w:t>
      </w:r>
    </w:p>
    <w:p w:rsidR="00000000" w:rsidDel="00000000" w:rsidP="00000000" w:rsidRDefault="00000000" w:rsidRPr="00000000" w14:paraId="0000000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a joint petition for dissolution of marriage for a decree of divorce is to be presented to the family court by both the spouses on the ground stating that they have not been able to live together and have mutually agreed to dissolve the marriage or they have been living separately for a period of one year or more.</w:t>
      </w:r>
    </w:p>
    <w:p w:rsidR="00000000" w:rsidDel="00000000" w:rsidP="00000000" w:rsidRDefault="00000000" w:rsidRPr="00000000" w14:paraId="0000000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petition will, then, be signed by both the parties.</w:t>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Appearing before Court and inspection of the petition</w:t>
      </w:r>
    </w:p>
    <w:p w:rsidR="00000000" w:rsidDel="00000000" w:rsidP="00000000" w:rsidRDefault="00000000" w:rsidRPr="00000000" w14:paraId="0000000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parties will have to appear before the family court after the filing of the petition. The parties would present their respective counsels/lawyers. The court would critically observe the petition along with all the documents presented in the court.</w:t>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 may even attempt to bring reconciliation between the spouses, however, if this is not possible, the matter proceeds for further follow-ups.</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Passing orders for a recording of statements on oath</w:t>
      </w:r>
    </w:p>
    <w:p w:rsidR="00000000" w:rsidDel="00000000" w:rsidP="00000000" w:rsidRDefault="00000000" w:rsidRPr="00000000" w14:paraId="0000001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petition is scrutinized by the court and it satisfies, it may order the party's statements to be recorded on oath.</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Motion is passed and a period of 6 months is given before the Second Motion</w:t>
      </w:r>
      <w:r w:rsidDel="00000000" w:rsidR="00000000" w:rsidRPr="00000000">
        <w:rPr>
          <w:rtl w:val="0"/>
        </w:rPr>
      </w:r>
    </w:p>
    <w:p w:rsidR="00000000" w:rsidDel="00000000" w:rsidP="00000000" w:rsidRDefault="00000000" w:rsidRPr="00000000" w14:paraId="0000001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statements are recorded, an order on the first motion is passed by the court. After this, a six months period is given to both the parties to a divorce, before they can file the second motion.</w:t>
      </w:r>
    </w:p>
    <w:p w:rsidR="00000000" w:rsidDel="00000000" w:rsidP="00000000" w:rsidRDefault="00000000" w:rsidRPr="00000000" w14:paraId="0000001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maximum period to file for a second motion is 18 months from the date of presentation of the divorce petition in the family court.</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Motion and the Final Hearing of petition</w:t>
      </w: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parties have decided to go further with the proceedings and appear for the second motion, they can proceed with the final hearings. This includes parties appearing and recording of statements before the Family Court.</w:t>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recent landmark case of Amardeep Singh v. Harveen Kaur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made a notable observation by holding that 6 months waiting/ cooling –off period as contemplated under Section 13B(2) of the Act is not mandatory. The Supreme Court held that the period of interregnum or cooling off period of 6-18 months provided under Section 13B(2) of the Hindu Marriage Act, 1955 is not mandatory but a directory provision and can be waived off under certain circumstances.</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parties who have genuinely settled their differences including alimony, custody of the child or any other pending issues between the parties, this six months it can be waived off. Even if the court is of the opinion that the waiting period will only extend their sufferings, the six months can be waived off in this case also.</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Decree of Divorce:</w:t>
      </w:r>
    </w:p>
    <w:p w:rsidR="00000000" w:rsidDel="00000000" w:rsidP="00000000" w:rsidRDefault="00000000" w:rsidRPr="00000000" w14:paraId="0000001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mutual divorce, both parties must have given consent and there shall not be any differences left in the matters related to contentions regarding alimony, custody of a child, maintenance, property, etc.</w:t>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there needs to be complete agreement between the spouses for the final decision on the dissolution of marriage.</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court is satisfied after hearing the parties that the allegations in the petition are true and that there cannot be any possibility of reconciliation and cohabitation, it can pass a decree of divorce declaring the marriage to be dissolved.</w:t>
      </w:r>
    </w:p>
    <w:p w:rsidR="00000000" w:rsidDel="00000000" w:rsidP="00000000" w:rsidRDefault="00000000" w:rsidRPr="00000000" w14:paraId="0000002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Sureshta Devi vs. Om Prakash</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Apex Court ruled that mutual consent is a sine qua non for passing a decree of divorce and the said consent must be valid and subsisting until the time a final decree of divorce is passed.</w:t>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Rajiv Chhikara vs. Sandhya Mathur</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the Division Bench of Delhi High Court opined that in the case the [arties had been living separately since 2009 and their relationship was beyond repair. Hence in such circumstance one spouse insists of retaining the matrimonial bond then the same would be like putting the spouse under intense situation of mental cruelty.</w:t>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(2017) 8 SCC. 746.</w:t>
      </w:r>
    </w:p>
  </w:footnote>
  <w:footnote w:id="1">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(1991) 2 SCC 25</w:t>
      </w:r>
    </w:p>
  </w:footnote>
  <w:footnote w:id="2">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2017 (161) DRJ 80 (DB)</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